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ECA54" w14:textId="68085AA8" w:rsidR="00673A0A" w:rsidRPr="00673A0A" w:rsidRDefault="00673A0A" w:rsidP="00673A0A">
      <w:pPr>
        <w:rPr>
          <w:rFonts w:asciiTheme="majorHAnsi" w:hAnsiTheme="majorHAnsi" w:cstheme="majorHAnsi"/>
          <w:b/>
          <w:bCs/>
        </w:rPr>
      </w:pPr>
      <w:r w:rsidRPr="00673A0A">
        <w:rPr>
          <w:rFonts w:asciiTheme="majorHAnsi" w:hAnsiTheme="majorHAnsi" w:cstheme="majorHAnsi"/>
          <w:b/>
          <w:bCs/>
        </w:rPr>
        <w:t>IN4340 – Engaged Qualitative Research Methods</w:t>
      </w:r>
    </w:p>
    <w:p w14:paraId="249E8D81" w14:textId="77777777" w:rsidR="00673A0A" w:rsidRPr="00673A0A" w:rsidRDefault="00673A0A" w:rsidP="00673A0A">
      <w:pPr>
        <w:spacing w:line="240" w:lineRule="auto"/>
        <w:rPr>
          <w:rFonts w:asciiTheme="majorHAnsi" w:hAnsiTheme="majorHAnsi" w:cstheme="majorHAnsi"/>
          <w:lang w:val="en-GB"/>
        </w:rPr>
      </w:pPr>
      <w:r w:rsidRPr="00673A0A">
        <w:rPr>
          <w:rFonts w:asciiTheme="majorHAnsi" w:hAnsiTheme="majorHAnsi" w:cstheme="majorHAnsi"/>
          <w:b/>
          <w:lang w:val="en-GB"/>
        </w:rPr>
        <w:t>Final Exam, Academic Year 2024/2025</w:t>
      </w:r>
    </w:p>
    <w:p w14:paraId="71A754F8" w14:textId="77777777" w:rsidR="00673A0A" w:rsidRPr="00673A0A" w:rsidRDefault="00673A0A" w:rsidP="00673A0A">
      <w:pPr>
        <w:spacing w:line="240" w:lineRule="auto"/>
        <w:rPr>
          <w:rFonts w:asciiTheme="majorHAnsi" w:hAnsiTheme="majorHAnsi" w:cstheme="majorHAnsi"/>
          <w:lang w:val="en-GB"/>
        </w:rPr>
      </w:pPr>
    </w:p>
    <w:p w14:paraId="3B739665" w14:textId="77777777" w:rsidR="00673A0A" w:rsidRPr="00673A0A" w:rsidRDefault="00673A0A" w:rsidP="00673A0A">
      <w:pPr>
        <w:spacing w:line="240" w:lineRule="auto"/>
        <w:rPr>
          <w:rFonts w:asciiTheme="majorHAnsi" w:hAnsiTheme="majorHAnsi" w:cstheme="majorHAnsi"/>
          <w:lang w:val="en-GB"/>
        </w:rPr>
      </w:pPr>
    </w:p>
    <w:p w14:paraId="5C5D7489" w14:textId="100359CB" w:rsidR="00673A0A" w:rsidRPr="00673A0A" w:rsidRDefault="00673A0A" w:rsidP="00673A0A">
      <w:pPr>
        <w:spacing w:line="240" w:lineRule="auto"/>
        <w:rPr>
          <w:rFonts w:asciiTheme="majorHAnsi" w:hAnsiTheme="majorHAnsi" w:cstheme="majorHAnsi"/>
          <w:lang w:val="en-GB"/>
        </w:rPr>
      </w:pPr>
      <w:r w:rsidRPr="00673A0A">
        <w:rPr>
          <w:rFonts w:asciiTheme="majorHAnsi" w:hAnsiTheme="majorHAnsi" w:cstheme="majorHAnsi"/>
          <w:lang w:val="en-GB"/>
        </w:rPr>
        <w:t xml:space="preserve">This exam consists of four questions. Students enrolled in the PhD programme are required to answer </w:t>
      </w:r>
      <w:r w:rsidRPr="00673A0A">
        <w:rPr>
          <w:rFonts w:asciiTheme="majorHAnsi" w:hAnsiTheme="majorHAnsi" w:cstheme="majorHAnsi"/>
          <w:u w:val="single"/>
          <w:lang w:val="en-GB"/>
        </w:rPr>
        <w:t>three</w:t>
      </w:r>
      <w:r w:rsidRPr="00673A0A">
        <w:rPr>
          <w:rFonts w:asciiTheme="majorHAnsi" w:hAnsiTheme="majorHAnsi" w:cstheme="majorHAnsi"/>
          <w:lang w:val="en-GB"/>
        </w:rPr>
        <w:t xml:space="preserve"> questions. Students enrolled in the Master’s programme are required to answer </w:t>
      </w:r>
      <w:r w:rsidRPr="00673A0A">
        <w:rPr>
          <w:rFonts w:asciiTheme="majorHAnsi" w:hAnsiTheme="majorHAnsi" w:cstheme="majorHAnsi"/>
          <w:u w:val="single"/>
          <w:lang w:val="en-GB"/>
        </w:rPr>
        <w:t>two</w:t>
      </w:r>
      <w:r w:rsidRPr="00673A0A">
        <w:rPr>
          <w:rFonts w:asciiTheme="majorHAnsi" w:hAnsiTheme="majorHAnsi" w:cstheme="majorHAnsi"/>
          <w:lang w:val="en-GB"/>
        </w:rPr>
        <w:t xml:space="preserve"> questions. All answers carry the same weight.</w:t>
      </w:r>
    </w:p>
    <w:p w14:paraId="084C8F6E" w14:textId="77777777" w:rsidR="00673A0A" w:rsidRPr="00673A0A" w:rsidRDefault="00673A0A" w:rsidP="00673A0A">
      <w:pPr>
        <w:spacing w:line="240" w:lineRule="auto"/>
        <w:rPr>
          <w:rFonts w:asciiTheme="majorHAnsi" w:hAnsiTheme="majorHAnsi" w:cstheme="majorHAnsi"/>
          <w:lang w:val="en-GB"/>
        </w:rPr>
      </w:pPr>
    </w:p>
    <w:p w14:paraId="7C271266" w14:textId="0AF23045" w:rsidR="00673A0A" w:rsidRPr="00673A0A" w:rsidRDefault="00673A0A" w:rsidP="00673A0A">
      <w:pPr>
        <w:spacing w:line="240" w:lineRule="auto"/>
        <w:rPr>
          <w:rFonts w:asciiTheme="majorHAnsi" w:hAnsiTheme="majorHAnsi" w:cstheme="majorHAnsi"/>
          <w:lang w:val="en-GB"/>
        </w:rPr>
      </w:pPr>
      <w:r w:rsidRPr="00673A0A">
        <w:rPr>
          <w:rFonts w:asciiTheme="majorHAnsi" w:hAnsiTheme="majorHAnsi" w:cstheme="majorHAnsi"/>
          <w:lang w:val="en-GB"/>
        </w:rPr>
        <w:t xml:space="preserve">Each answer should not exceed </w:t>
      </w:r>
      <w:r>
        <w:rPr>
          <w:rFonts w:asciiTheme="majorHAnsi" w:hAnsiTheme="majorHAnsi" w:cstheme="majorHAnsi"/>
          <w:lang w:val="en-GB"/>
        </w:rPr>
        <w:t>2500</w:t>
      </w:r>
      <w:r w:rsidRPr="00673A0A">
        <w:rPr>
          <w:rFonts w:asciiTheme="majorHAnsi" w:hAnsiTheme="majorHAnsi" w:cstheme="majorHAnsi"/>
          <w:lang w:val="en-GB"/>
        </w:rPr>
        <w:t xml:space="preserve"> words excluding references. A leeway of 10% over the word limit for each answer is acceptable.</w:t>
      </w:r>
    </w:p>
    <w:p w14:paraId="01F9D00A" w14:textId="77777777" w:rsidR="00673A0A" w:rsidRPr="00673A0A" w:rsidRDefault="00673A0A" w:rsidP="00673A0A">
      <w:pPr>
        <w:spacing w:line="240" w:lineRule="auto"/>
        <w:rPr>
          <w:rFonts w:asciiTheme="majorHAnsi" w:hAnsiTheme="majorHAnsi" w:cstheme="majorHAnsi"/>
          <w:lang w:val="en-GB"/>
        </w:rPr>
      </w:pPr>
    </w:p>
    <w:p w14:paraId="67AEC235" w14:textId="39A11A98" w:rsidR="00673A0A" w:rsidRPr="00673A0A" w:rsidRDefault="00673A0A" w:rsidP="00673A0A">
      <w:pPr>
        <w:spacing w:line="240" w:lineRule="auto"/>
        <w:rPr>
          <w:rFonts w:asciiTheme="majorHAnsi" w:hAnsiTheme="majorHAnsi" w:cstheme="majorHAnsi"/>
          <w:lang w:val="en-GB"/>
        </w:rPr>
      </w:pPr>
      <w:r w:rsidRPr="00673A0A">
        <w:rPr>
          <w:rFonts w:asciiTheme="majorHAnsi" w:hAnsiTheme="majorHAnsi" w:cstheme="majorHAnsi"/>
          <w:lang w:val="en-GB"/>
        </w:rPr>
        <w:t>The exam is to be submitted by 1</w:t>
      </w:r>
      <w:r>
        <w:rPr>
          <w:rFonts w:asciiTheme="majorHAnsi" w:hAnsiTheme="majorHAnsi" w:cstheme="majorHAnsi"/>
          <w:lang w:val="en-GB"/>
        </w:rPr>
        <w:t>6</w:t>
      </w:r>
      <w:r w:rsidRPr="00673A0A">
        <w:rPr>
          <w:rFonts w:asciiTheme="majorHAnsi" w:hAnsiTheme="majorHAnsi" w:cstheme="majorHAnsi"/>
          <w:lang w:val="en-GB"/>
        </w:rPr>
        <w:t xml:space="preserve"> </w:t>
      </w:r>
      <w:r>
        <w:rPr>
          <w:rFonts w:asciiTheme="majorHAnsi" w:hAnsiTheme="majorHAnsi" w:cstheme="majorHAnsi"/>
          <w:lang w:val="en-GB"/>
        </w:rPr>
        <w:t>December</w:t>
      </w:r>
      <w:r w:rsidRPr="00673A0A">
        <w:rPr>
          <w:rFonts w:asciiTheme="majorHAnsi" w:hAnsiTheme="majorHAnsi" w:cstheme="majorHAnsi"/>
          <w:lang w:val="en-GB"/>
        </w:rPr>
        <w:t xml:space="preserve"> 2024, 23.59. Use Inspera to submit your exam. You will find your candidate number on Studentweb. The exam is take home, open book, and published on </w:t>
      </w:r>
      <w:r>
        <w:rPr>
          <w:rFonts w:asciiTheme="majorHAnsi" w:hAnsiTheme="majorHAnsi" w:cstheme="majorHAnsi"/>
          <w:lang w:val="en-GB"/>
        </w:rPr>
        <w:t>25</w:t>
      </w:r>
      <w:r w:rsidRPr="00673A0A">
        <w:rPr>
          <w:rFonts w:asciiTheme="majorHAnsi" w:hAnsiTheme="majorHAnsi" w:cstheme="majorHAnsi"/>
          <w:lang w:val="en-GB"/>
        </w:rPr>
        <w:t xml:space="preserve"> </w:t>
      </w:r>
      <w:r>
        <w:rPr>
          <w:rFonts w:asciiTheme="majorHAnsi" w:hAnsiTheme="majorHAnsi" w:cstheme="majorHAnsi"/>
          <w:lang w:val="en-GB"/>
        </w:rPr>
        <w:t>November</w:t>
      </w:r>
      <w:r w:rsidRPr="00673A0A">
        <w:rPr>
          <w:rFonts w:asciiTheme="majorHAnsi" w:hAnsiTheme="majorHAnsi" w:cstheme="majorHAnsi"/>
          <w:lang w:val="en-GB"/>
        </w:rPr>
        <w:t xml:space="preserve"> through Inspera.</w:t>
      </w:r>
    </w:p>
    <w:p w14:paraId="1E7836F1" w14:textId="77777777" w:rsidR="00673A0A" w:rsidRDefault="00673A0A" w:rsidP="00673A0A"/>
    <w:p w14:paraId="5623010F" w14:textId="77777777" w:rsidR="00673A0A" w:rsidRDefault="00673A0A" w:rsidP="00673A0A">
      <w:pPr>
        <w:rPr>
          <w:rFonts w:ascii="Calibri" w:eastAsia="Calibri" w:hAnsi="Calibri" w:cs="Calibri"/>
        </w:rPr>
      </w:pPr>
    </w:p>
    <w:p w14:paraId="00000001" w14:textId="4694D102" w:rsidR="001F62C4" w:rsidRDefault="00FC3D3D">
      <w:pPr>
        <w:numPr>
          <w:ilvl w:val="0"/>
          <w:numId w:val="6"/>
        </w:numPr>
        <w:rPr>
          <w:rFonts w:ascii="Calibri" w:eastAsia="Calibri" w:hAnsi="Calibri" w:cs="Calibri"/>
        </w:rPr>
      </w:pPr>
      <w:r>
        <w:rPr>
          <w:rFonts w:ascii="Calibri" w:eastAsia="Calibri" w:hAnsi="Calibri" w:cs="Calibri"/>
        </w:rPr>
        <w:t>Walsham (2006) offers multiple practical considerations for conducting and reporting on interpretive case studies. He also discusses the role of theory in case study research, focusing on the interpretive paradigm that much engaged research adopts.</w:t>
      </w:r>
    </w:p>
    <w:p w14:paraId="00000002" w14:textId="77777777" w:rsidR="001F62C4" w:rsidRDefault="001F62C4">
      <w:pPr>
        <w:rPr>
          <w:rFonts w:ascii="Calibri" w:eastAsia="Calibri" w:hAnsi="Calibri" w:cs="Calibri"/>
        </w:rPr>
      </w:pPr>
    </w:p>
    <w:p w14:paraId="00000003" w14:textId="77777777" w:rsidR="001F62C4" w:rsidRDefault="00FC3D3D">
      <w:pPr>
        <w:numPr>
          <w:ilvl w:val="0"/>
          <w:numId w:val="3"/>
        </w:numPr>
        <w:rPr>
          <w:rFonts w:ascii="Calibri" w:eastAsia="Calibri" w:hAnsi="Calibri" w:cs="Calibri"/>
        </w:rPr>
      </w:pPr>
      <w:r>
        <w:rPr>
          <w:rFonts w:ascii="Calibri" w:eastAsia="Calibri" w:hAnsi="Calibri" w:cs="Calibri"/>
        </w:rPr>
        <w:t>According to Walsham (2006), what are the three main ways of using theory in the conduct of case studies? Discuss and illustrate these with examples.</w:t>
      </w:r>
    </w:p>
    <w:p w14:paraId="00000004" w14:textId="77777777" w:rsidR="001F62C4" w:rsidRDefault="00FC3D3D">
      <w:pPr>
        <w:shd w:val="clear" w:color="auto" w:fill="FFFFFF"/>
        <w:ind w:left="360"/>
        <w:rPr>
          <w:rFonts w:ascii="Calibri" w:eastAsia="Calibri" w:hAnsi="Calibri" w:cs="Calibri"/>
        </w:rPr>
      </w:pPr>
      <w:r>
        <w:rPr>
          <w:rFonts w:ascii="Calibri" w:eastAsia="Calibri" w:hAnsi="Calibri" w:cs="Calibri"/>
        </w:rPr>
        <w:t xml:space="preserve"> </w:t>
      </w:r>
    </w:p>
    <w:p w14:paraId="00000005" w14:textId="77777777" w:rsidR="001F62C4" w:rsidRDefault="00FC3D3D">
      <w:pPr>
        <w:numPr>
          <w:ilvl w:val="0"/>
          <w:numId w:val="1"/>
        </w:numPr>
        <w:shd w:val="clear" w:color="auto" w:fill="FFFFFF"/>
        <w:rPr>
          <w:rFonts w:ascii="Calibri" w:eastAsia="Calibri" w:hAnsi="Calibri" w:cs="Calibri"/>
        </w:rPr>
      </w:pPr>
      <w:r>
        <w:rPr>
          <w:rFonts w:ascii="Calibri" w:eastAsia="Calibri" w:hAnsi="Calibri" w:cs="Calibri"/>
        </w:rPr>
        <w:t>Using examples from the literature, discuss the advantages and limitations of case study research, as compared to other methodologies studied in this course. What reasons may motivate you to choose a case study as methodology for your thesis?</w:t>
      </w:r>
    </w:p>
    <w:p w14:paraId="00000006" w14:textId="77777777" w:rsidR="001F62C4" w:rsidRDefault="001F62C4">
      <w:pPr>
        <w:shd w:val="clear" w:color="auto" w:fill="FFFFFF"/>
        <w:ind w:left="720"/>
        <w:rPr>
          <w:rFonts w:ascii="Calibri" w:eastAsia="Calibri" w:hAnsi="Calibri" w:cs="Calibri"/>
        </w:rPr>
      </w:pPr>
    </w:p>
    <w:p w14:paraId="00000007" w14:textId="77777777" w:rsidR="001F62C4" w:rsidRDefault="001F62C4">
      <w:pPr>
        <w:shd w:val="clear" w:color="auto" w:fill="FFFFFF"/>
        <w:rPr>
          <w:rFonts w:ascii="Calibri" w:eastAsia="Calibri" w:hAnsi="Calibri" w:cs="Calibri"/>
        </w:rPr>
      </w:pPr>
    </w:p>
    <w:p w14:paraId="00000008" w14:textId="7486026C" w:rsidR="001F62C4" w:rsidRDefault="00FC3D3D">
      <w:pPr>
        <w:numPr>
          <w:ilvl w:val="0"/>
          <w:numId w:val="6"/>
        </w:numPr>
        <w:shd w:val="clear" w:color="auto" w:fill="FFFFFF"/>
        <w:rPr>
          <w:rFonts w:ascii="Calibri" w:eastAsia="Calibri" w:hAnsi="Calibri" w:cs="Calibri"/>
        </w:rPr>
      </w:pPr>
      <w:r>
        <w:rPr>
          <w:rFonts w:ascii="Calibri" w:eastAsia="Calibri" w:hAnsi="Calibri" w:cs="Calibri"/>
        </w:rPr>
        <w:t>The Health Information Systems Programme (HISP</w:t>
      </w:r>
      <w:r w:rsidR="00673A0A">
        <w:rPr>
          <w:rFonts w:ascii="Calibri" w:eastAsia="Calibri" w:hAnsi="Calibri" w:cs="Calibri"/>
        </w:rPr>
        <w:t>)</w:t>
      </w:r>
      <w:r>
        <w:rPr>
          <w:rFonts w:ascii="Calibri" w:eastAsia="Calibri" w:hAnsi="Calibri" w:cs="Calibri"/>
        </w:rPr>
        <w:t xml:space="preserve"> at University of Oslo has a long tradition of conducting action research. Theorised by Braa et al. (2004), the Networks of Action approach has long informed the activities conducted at HISP.</w:t>
      </w:r>
    </w:p>
    <w:p w14:paraId="00000009" w14:textId="77777777" w:rsidR="001F62C4" w:rsidRDefault="001F62C4">
      <w:pPr>
        <w:shd w:val="clear" w:color="auto" w:fill="FFFFFF"/>
        <w:rPr>
          <w:rFonts w:ascii="Calibri" w:eastAsia="Calibri" w:hAnsi="Calibri" w:cs="Calibri"/>
        </w:rPr>
      </w:pPr>
    </w:p>
    <w:p w14:paraId="0000000A" w14:textId="77777777" w:rsidR="001F62C4" w:rsidRDefault="00FC3D3D">
      <w:pPr>
        <w:numPr>
          <w:ilvl w:val="0"/>
          <w:numId w:val="7"/>
        </w:numPr>
        <w:shd w:val="clear" w:color="auto" w:fill="FFFFFF"/>
        <w:rPr>
          <w:rFonts w:ascii="Calibri" w:eastAsia="Calibri" w:hAnsi="Calibri" w:cs="Calibri"/>
        </w:rPr>
      </w:pPr>
      <w:r>
        <w:rPr>
          <w:rFonts w:ascii="Calibri" w:eastAsia="Calibri" w:hAnsi="Calibri" w:cs="Calibri"/>
        </w:rPr>
        <w:t>Drawing on publications from the HISP network, illustrate the Networks of Action approach. How did this approach innovate on traditional ways to conduct action research in the information Systems domain?</w:t>
      </w:r>
    </w:p>
    <w:p w14:paraId="0000000B" w14:textId="77777777" w:rsidR="001F62C4" w:rsidRDefault="001F62C4">
      <w:pPr>
        <w:shd w:val="clear" w:color="auto" w:fill="FFFFFF"/>
        <w:rPr>
          <w:rFonts w:ascii="Calibri" w:eastAsia="Calibri" w:hAnsi="Calibri" w:cs="Calibri"/>
        </w:rPr>
      </w:pPr>
    </w:p>
    <w:p w14:paraId="0000000C" w14:textId="74D139BF" w:rsidR="001F62C4" w:rsidRDefault="00FC3D3D">
      <w:pPr>
        <w:numPr>
          <w:ilvl w:val="0"/>
          <w:numId w:val="5"/>
        </w:numPr>
        <w:shd w:val="clear" w:color="auto" w:fill="FFFFFF"/>
        <w:rPr>
          <w:rFonts w:ascii="Calibri" w:eastAsia="Calibri" w:hAnsi="Calibri" w:cs="Calibri"/>
        </w:rPr>
      </w:pPr>
      <w:r>
        <w:rPr>
          <w:rFonts w:ascii="Calibri" w:eastAsia="Calibri" w:hAnsi="Calibri" w:cs="Calibri"/>
        </w:rPr>
        <w:t>Using literature, elaborate on the main advantages and disadvantages presented by the Networks of Action approach. Two decades after its theorisation, do you consider this a viable methodology? Motivate your answer with examples.</w:t>
      </w:r>
    </w:p>
    <w:p w14:paraId="0000000D" w14:textId="77777777" w:rsidR="001F62C4" w:rsidRDefault="001F62C4">
      <w:pPr>
        <w:shd w:val="clear" w:color="auto" w:fill="FFFFFF"/>
        <w:rPr>
          <w:rFonts w:ascii="Calibri" w:eastAsia="Calibri" w:hAnsi="Calibri" w:cs="Calibri"/>
        </w:rPr>
      </w:pPr>
    </w:p>
    <w:p w14:paraId="0000000E" w14:textId="77777777" w:rsidR="001F62C4" w:rsidRDefault="001F62C4">
      <w:pPr>
        <w:shd w:val="clear" w:color="auto" w:fill="FFFFFF"/>
        <w:rPr>
          <w:rFonts w:ascii="Calibri" w:eastAsia="Calibri" w:hAnsi="Calibri" w:cs="Calibri"/>
        </w:rPr>
      </w:pPr>
    </w:p>
    <w:p w14:paraId="0000000F" w14:textId="77777777" w:rsidR="001F62C4" w:rsidRDefault="00FC3D3D">
      <w:pPr>
        <w:numPr>
          <w:ilvl w:val="0"/>
          <w:numId w:val="6"/>
        </w:numPr>
        <w:shd w:val="clear" w:color="auto" w:fill="FFFFFF"/>
        <w:rPr>
          <w:rFonts w:ascii="Calibri" w:eastAsia="Calibri" w:hAnsi="Calibri" w:cs="Calibri"/>
        </w:rPr>
      </w:pPr>
      <w:r>
        <w:rPr>
          <w:rFonts w:ascii="Calibri" w:eastAsia="Calibri" w:hAnsi="Calibri" w:cs="Calibri"/>
        </w:rPr>
        <w:t>Myers (1997) defines grounded theory as “a research method that seeks to develop theory that is grounded in data systematically gathered and analysed”. Coding, a process in which abstract categories are derived from the data, is at the center of the grounded theory methodology.</w:t>
      </w:r>
    </w:p>
    <w:p w14:paraId="00000010" w14:textId="77777777" w:rsidR="001F62C4" w:rsidRDefault="001F62C4">
      <w:pPr>
        <w:shd w:val="clear" w:color="auto" w:fill="FFFFFF"/>
        <w:rPr>
          <w:rFonts w:ascii="Calibri" w:eastAsia="Calibri" w:hAnsi="Calibri" w:cs="Calibri"/>
        </w:rPr>
      </w:pPr>
    </w:p>
    <w:p w14:paraId="00000011" w14:textId="77777777" w:rsidR="001F62C4" w:rsidRDefault="00FC3D3D">
      <w:pPr>
        <w:numPr>
          <w:ilvl w:val="0"/>
          <w:numId w:val="2"/>
        </w:numPr>
        <w:shd w:val="clear" w:color="auto" w:fill="FFFFFF"/>
        <w:rPr>
          <w:rFonts w:ascii="Calibri" w:eastAsia="Calibri" w:hAnsi="Calibri" w:cs="Calibri"/>
        </w:rPr>
      </w:pPr>
      <w:r>
        <w:rPr>
          <w:rFonts w:ascii="Calibri" w:eastAsia="Calibri" w:hAnsi="Calibri" w:cs="Calibri"/>
        </w:rPr>
        <w:lastRenderedPageBreak/>
        <w:t>Using examples from the literature, compare and contrast grounded theory with other methodologies studied in this course. What considerations would you make if you were to choose grounded theory for your research?</w:t>
      </w:r>
    </w:p>
    <w:p w14:paraId="00000012" w14:textId="77777777" w:rsidR="001F62C4" w:rsidRDefault="001F62C4">
      <w:pPr>
        <w:shd w:val="clear" w:color="auto" w:fill="FFFFFF"/>
        <w:rPr>
          <w:rFonts w:ascii="Calibri" w:eastAsia="Calibri" w:hAnsi="Calibri" w:cs="Calibri"/>
        </w:rPr>
      </w:pPr>
    </w:p>
    <w:p w14:paraId="00000013" w14:textId="77777777" w:rsidR="001F62C4" w:rsidRDefault="00FC3D3D">
      <w:pPr>
        <w:numPr>
          <w:ilvl w:val="0"/>
          <w:numId w:val="4"/>
        </w:numPr>
        <w:shd w:val="clear" w:color="auto" w:fill="FFFFFF"/>
        <w:rPr>
          <w:rFonts w:ascii="Calibri" w:eastAsia="Calibri" w:hAnsi="Calibri" w:cs="Calibri"/>
        </w:rPr>
      </w:pPr>
      <w:r>
        <w:rPr>
          <w:rFonts w:ascii="Calibri" w:eastAsia="Calibri" w:hAnsi="Calibri" w:cs="Calibri"/>
        </w:rPr>
        <w:t>It has been argued that grounded theory, while capable to accommodate interpretive research, presents traits that make it more akin to a positivist epistemology. What is your stance on this matter? Illustrate with examples.</w:t>
      </w:r>
    </w:p>
    <w:p w14:paraId="00000014" w14:textId="77777777" w:rsidR="001F62C4" w:rsidRDefault="001F62C4">
      <w:pPr>
        <w:shd w:val="clear" w:color="auto" w:fill="FFFFFF"/>
        <w:rPr>
          <w:rFonts w:ascii="Calibri" w:eastAsia="Calibri" w:hAnsi="Calibri" w:cs="Calibri"/>
        </w:rPr>
      </w:pPr>
    </w:p>
    <w:p w14:paraId="00000015" w14:textId="77777777" w:rsidR="001F62C4" w:rsidRDefault="001F62C4">
      <w:pPr>
        <w:shd w:val="clear" w:color="auto" w:fill="FFFFFF"/>
        <w:rPr>
          <w:rFonts w:ascii="Calibri" w:eastAsia="Calibri" w:hAnsi="Calibri" w:cs="Calibri"/>
        </w:rPr>
      </w:pPr>
    </w:p>
    <w:p w14:paraId="00000016" w14:textId="77777777" w:rsidR="001F62C4" w:rsidRDefault="00FC3D3D">
      <w:pPr>
        <w:numPr>
          <w:ilvl w:val="0"/>
          <w:numId w:val="6"/>
        </w:numPr>
        <w:shd w:val="clear" w:color="auto" w:fill="FFFFFF"/>
        <w:rPr>
          <w:rFonts w:ascii="Calibri" w:eastAsia="Calibri" w:hAnsi="Calibri" w:cs="Calibri"/>
        </w:rPr>
      </w:pPr>
      <w:r>
        <w:rPr>
          <w:rFonts w:ascii="Calibri" w:eastAsia="Calibri" w:hAnsi="Calibri" w:cs="Calibri"/>
        </w:rPr>
        <w:t>Ethnographic research aims to grasp the subjects’ lived experience, seeking to place the phenomena studied in their social and cultural context. In virtue of this, Myers (1997) has referred to ethnography as “one of the most in-depth research methods possible”.</w:t>
      </w:r>
    </w:p>
    <w:p w14:paraId="00000017" w14:textId="77777777" w:rsidR="001F62C4" w:rsidRDefault="001F62C4">
      <w:pPr>
        <w:shd w:val="clear" w:color="auto" w:fill="FFFFFF"/>
        <w:rPr>
          <w:rFonts w:ascii="Calibri" w:eastAsia="Calibri" w:hAnsi="Calibri" w:cs="Calibri"/>
        </w:rPr>
      </w:pPr>
    </w:p>
    <w:p w14:paraId="00000018" w14:textId="77777777" w:rsidR="001F62C4" w:rsidRDefault="00FC3D3D">
      <w:pPr>
        <w:numPr>
          <w:ilvl w:val="0"/>
          <w:numId w:val="8"/>
        </w:numPr>
        <w:shd w:val="clear" w:color="auto" w:fill="FFFFFF"/>
        <w:rPr>
          <w:rFonts w:ascii="Calibri" w:eastAsia="Calibri" w:hAnsi="Calibri" w:cs="Calibri"/>
        </w:rPr>
      </w:pPr>
      <w:r>
        <w:rPr>
          <w:rFonts w:ascii="Calibri" w:eastAsia="Calibri" w:hAnsi="Calibri" w:cs="Calibri"/>
        </w:rPr>
        <w:t>Discuss the trade-off that ethnography presents with other methodologies, which, like action research, prescribe more active intervention of the researcher on the studied object. What advantages and disadvantages does ethnography present in comparison? Illustrate with examples.</w:t>
      </w:r>
    </w:p>
    <w:p w14:paraId="00000019" w14:textId="77777777" w:rsidR="001F62C4" w:rsidRDefault="001F62C4">
      <w:pPr>
        <w:shd w:val="clear" w:color="auto" w:fill="FFFFFF"/>
        <w:ind w:left="720"/>
        <w:rPr>
          <w:rFonts w:ascii="Calibri" w:eastAsia="Calibri" w:hAnsi="Calibri" w:cs="Calibri"/>
        </w:rPr>
      </w:pPr>
    </w:p>
    <w:p w14:paraId="0000001A" w14:textId="77777777" w:rsidR="001F62C4" w:rsidRDefault="00FC3D3D">
      <w:pPr>
        <w:numPr>
          <w:ilvl w:val="0"/>
          <w:numId w:val="8"/>
        </w:numPr>
        <w:shd w:val="clear" w:color="auto" w:fill="FFFFFF"/>
        <w:rPr>
          <w:rFonts w:ascii="Calibri" w:eastAsia="Calibri" w:hAnsi="Calibri" w:cs="Calibri"/>
        </w:rPr>
      </w:pPr>
      <w:r>
        <w:rPr>
          <w:rFonts w:ascii="Calibri" w:eastAsia="Calibri" w:hAnsi="Calibri" w:cs="Calibri"/>
        </w:rPr>
        <w:t>Illustrate the concept of epistemic violence, and detail how ethnographic research can result in its perpetration. What measures can be taken to avoid this risk?</w:t>
      </w:r>
    </w:p>
    <w:sectPr w:rsidR="001F62C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10060E"/>
    <w:multiLevelType w:val="multilevel"/>
    <w:tmpl w:val="E8CC67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4392CFC"/>
    <w:multiLevelType w:val="multilevel"/>
    <w:tmpl w:val="FE3009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451579A"/>
    <w:multiLevelType w:val="multilevel"/>
    <w:tmpl w:val="F2CAFA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B2406C1"/>
    <w:multiLevelType w:val="multilevel"/>
    <w:tmpl w:val="A3BC03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F21182B"/>
    <w:multiLevelType w:val="multilevel"/>
    <w:tmpl w:val="C7FA35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79D0F52"/>
    <w:multiLevelType w:val="multilevel"/>
    <w:tmpl w:val="F75C07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5A66BB0"/>
    <w:multiLevelType w:val="multilevel"/>
    <w:tmpl w:val="2D0684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F0B173A"/>
    <w:multiLevelType w:val="multilevel"/>
    <w:tmpl w:val="A7F869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57326527">
    <w:abstractNumId w:val="1"/>
  </w:num>
  <w:num w:numId="2" w16cid:durableId="140081911">
    <w:abstractNumId w:val="4"/>
  </w:num>
  <w:num w:numId="3" w16cid:durableId="1859274853">
    <w:abstractNumId w:val="2"/>
  </w:num>
  <w:num w:numId="4" w16cid:durableId="2034068191">
    <w:abstractNumId w:val="0"/>
  </w:num>
  <w:num w:numId="5" w16cid:durableId="533810264">
    <w:abstractNumId w:val="3"/>
  </w:num>
  <w:num w:numId="6" w16cid:durableId="1316952370">
    <w:abstractNumId w:val="7"/>
  </w:num>
  <w:num w:numId="7" w16cid:durableId="227375848">
    <w:abstractNumId w:val="5"/>
  </w:num>
  <w:num w:numId="8" w16cid:durableId="11541831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2C4"/>
    <w:rsid w:val="001F62C4"/>
    <w:rsid w:val="00673A0A"/>
    <w:rsid w:val="007A777F"/>
    <w:rsid w:val="00C35401"/>
    <w:rsid w:val="00D60746"/>
    <w:rsid w:val="00FC3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72FCD"/>
  <w15:docId w15:val="{A73B8B08-6F5F-4BAA-8873-C70FACA08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no"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543</Words>
  <Characters>2879</Characters>
  <Application>Microsoft Office Word</Application>
  <DocSecurity>0</DocSecurity>
  <Lines>23</Lines>
  <Paragraphs>6</Paragraphs>
  <ScaleCrop>false</ScaleCrop>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Masiero</dc:creator>
  <cp:lastModifiedBy>Silvia Masiero</cp:lastModifiedBy>
  <cp:revision>2</cp:revision>
  <dcterms:created xsi:type="dcterms:W3CDTF">2025-10-03T07:58:00Z</dcterms:created>
  <dcterms:modified xsi:type="dcterms:W3CDTF">2025-10-03T07:58:00Z</dcterms:modified>
</cp:coreProperties>
</file>